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72" w:type="dxa"/>
        <w:tblLayout w:type="fixed"/>
        <w:tblLook w:val="04A0"/>
      </w:tblPr>
      <w:tblGrid>
        <w:gridCol w:w="5271"/>
        <w:gridCol w:w="5006"/>
      </w:tblGrid>
      <w:tr w:rsidR="002D2C5B">
        <w:trPr>
          <w:trHeight w:val="360"/>
        </w:trPr>
        <w:tc>
          <w:tcPr>
            <w:tcW w:w="1027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D2C5B" w:rsidRDefault="006065ED">
            <w:pPr>
              <w:ind w:left="4608"/>
              <w:jc w:val="center"/>
              <w:rPr>
                <w:sz w:val="28"/>
              </w:rPr>
            </w:pPr>
            <w:r w:rsidRPr="006065ED">
              <w:rPr>
                <w:sz w:val="28"/>
              </w:rPr>
              <w:t>Приложение 4</w:t>
            </w:r>
          </w:p>
          <w:p w:rsidR="002D2C5B" w:rsidRDefault="006065ED">
            <w:pPr>
              <w:ind w:left="4608"/>
              <w:jc w:val="center"/>
              <w:rPr>
                <w:sz w:val="28"/>
              </w:rPr>
            </w:pPr>
            <w:r>
              <w:rPr>
                <w:sz w:val="28"/>
              </w:rPr>
              <w:t>к Областному закону</w:t>
            </w:r>
          </w:p>
          <w:p w:rsidR="002D2C5B" w:rsidRDefault="006065ED">
            <w:pPr>
              <w:ind w:left="4608"/>
              <w:jc w:val="center"/>
              <w:rPr>
                <w:sz w:val="28"/>
              </w:rPr>
            </w:pPr>
            <w:r>
              <w:rPr>
                <w:sz w:val="28"/>
              </w:rPr>
              <w:t>«Об областном бюджете на 2025 год</w:t>
            </w:r>
          </w:p>
          <w:p w:rsidR="002D2C5B" w:rsidRDefault="006065ED">
            <w:pPr>
              <w:ind w:left="4608"/>
              <w:jc w:val="center"/>
              <w:rPr>
                <w:sz w:val="28"/>
              </w:rPr>
            </w:pPr>
            <w:r>
              <w:rPr>
                <w:sz w:val="28"/>
              </w:rPr>
              <w:t>и на плановый период 2026 и 2027 годов»</w:t>
            </w:r>
          </w:p>
        </w:tc>
      </w:tr>
      <w:tr w:rsidR="002D2C5B">
        <w:trPr>
          <w:trHeight w:val="555"/>
        </w:trPr>
        <w:tc>
          <w:tcPr>
            <w:tcW w:w="5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2C5B" w:rsidRDefault="002D2C5B">
            <w:pPr>
              <w:rPr>
                <w:sz w:val="28"/>
              </w:rPr>
            </w:pPr>
          </w:p>
          <w:p w:rsidR="002D2C5B" w:rsidRDefault="002D2C5B">
            <w:pPr>
              <w:rPr>
                <w:sz w:val="28"/>
              </w:rPr>
            </w:pPr>
          </w:p>
        </w:tc>
        <w:tc>
          <w:tcPr>
            <w:tcW w:w="5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2C5B" w:rsidRDefault="002D2C5B">
            <w:pPr>
              <w:pStyle w:val="ConsPlusTitle"/>
              <w:spacing w:line="360" w:lineRule="auto"/>
              <w:jc w:val="center"/>
              <w:rPr>
                <w:sz w:val="28"/>
              </w:rPr>
            </w:pPr>
          </w:p>
        </w:tc>
      </w:tr>
      <w:tr w:rsidR="002D2C5B">
        <w:trPr>
          <w:trHeight w:val="255"/>
        </w:trPr>
        <w:tc>
          <w:tcPr>
            <w:tcW w:w="10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2C5B" w:rsidRDefault="006065ED">
            <w:pPr>
              <w:spacing w:line="228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Дополнительные нормативы отчислений в бюджеты муниципальных районов и городских округов на 2025 год и на плановый период 2026 и 2027 годов от </w:t>
            </w:r>
            <w:r>
              <w:rPr>
                <w:b/>
                <w:sz w:val="28"/>
              </w:rPr>
              <w:t>налога на доходы физических лиц, за исключением налога на доходы физических лиц, уплачиваемого иностранными гражданами в виде фиксированного авансового платежа при осуществлении ими на территории Российской Федерации трудовой деятельности на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основании пате</w:t>
            </w:r>
            <w:r>
              <w:rPr>
                <w:b/>
                <w:sz w:val="28"/>
              </w:rPr>
              <w:t xml:space="preserve">нта, подлежащего зачислению в соответствии с Бюджетным кодексом Российской Федерации в областной бюджет </w:t>
            </w:r>
          </w:p>
        </w:tc>
      </w:tr>
    </w:tbl>
    <w:p w:rsidR="002D2C5B" w:rsidRDefault="006065ED">
      <w:pPr>
        <w:jc w:val="right"/>
        <w:rPr>
          <w:sz w:val="28"/>
        </w:rPr>
      </w:pPr>
      <w:r>
        <w:rPr>
          <w:sz w:val="28"/>
        </w:rPr>
        <w:t>(в процентах)</w:t>
      </w:r>
    </w:p>
    <w:p w:rsidR="002D2C5B" w:rsidRDefault="002D2C5B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4241"/>
        <w:gridCol w:w="2331"/>
        <w:gridCol w:w="1816"/>
        <w:gridCol w:w="1816"/>
      </w:tblGrid>
      <w:tr w:rsidR="002D2C5B">
        <w:trPr>
          <w:trHeight w:val="285"/>
          <w:tblHeader/>
        </w:trPr>
        <w:tc>
          <w:tcPr>
            <w:tcW w:w="42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муниципальных образований</w:t>
            </w:r>
          </w:p>
        </w:tc>
        <w:tc>
          <w:tcPr>
            <w:tcW w:w="5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Дополнительный норматив</w:t>
            </w:r>
          </w:p>
        </w:tc>
      </w:tr>
      <w:tr w:rsidR="002D2C5B">
        <w:trPr>
          <w:trHeight w:val="285"/>
          <w:tblHeader/>
        </w:trPr>
        <w:tc>
          <w:tcPr>
            <w:tcW w:w="4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2C5B" w:rsidRDefault="002D2C5B"/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2025 год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2026 год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2027 год</w:t>
            </w:r>
          </w:p>
        </w:tc>
      </w:tr>
      <w:tr w:rsidR="002D2C5B">
        <w:trPr>
          <w:trHeight w:val="285"/>
          <w:tblHeader/>
        </w:trPr>
        <w:tc>
          <w:tcPr>
            <w:tcW w:w="424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2D2C5B">
        <w:trPr>
          <w:trHeight w:val="316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Азовский район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23,1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22,0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21,6</w:t>
            </w:r>
          </w:p>
        </w:tc>
      </w:tr>
      <w:tr w:rsidR="002D2C5B">
        <w:trPr>
          <w:trHeight w:val="324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Аксайский район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0,7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0,8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</w:tr>
      <w:tr w:rsidR="002D2C5B">
        <w:trPr>
          <w:trHeight w:val="332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Багаевский район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32,1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30,7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29,9</w:t>
            </w:r>
          </w:p>
        </w:tc>
      </w:tr>
      <w:tr w:rsidR="002D2C5B">
        <w:trPr>
          <w:trHeight w:val="325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Белокалитвинский район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14,4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16,4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18,1</w:t>
            </w:r>
          </w:p>
        </w:tc>
      </w:tr>
      <w:tr w:rsidR="002D2C5B">
        <w:trPr>
          <w:trHeight w:val="303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Боковский район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43,3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41,6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40,4</w:t>
            </w:r>
          </w:p>
        </w:tc>
      </w:tr>
      <w:tr w:rsidR="002D2C5B">
        <w:trPr>
          <w:trHeight w:val="326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Верхнедонской район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40,7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39,0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38,0</w:t>
            </w:r>
          </w:p>
        </w:tc>
      </w:tr>
      <w:tr w:rsidR="002D2C5B">
        <w:trPr>
          <w:trHeight w:val="334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Веселовский район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21,1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20,2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19,7</w:t>
            </w:r>
          </w:p>
        </w:tc>
      </w:tr>
      <w:tr w:rsidR="002D2C5B">
        <w:trPr>
          <w:trHeight w:val="327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Волгодонской район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58,6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70,9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75,0</w:t>
            </w:r>
          </w:p>
        </w:tc>
      </w:tr>
      <w:tr w:rsidR="002D2C5B">
        <w:trPr>
          <w:trHeight w:val="335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Дубовский район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38,0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45,3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50,3</w:t>
            </w:r>
          </w:p>
        </w:tc>
      </w:tr>
      <w:tr w:rsidR="002D2C5B">
        <w:trPr>
          <w:trHeight w:val="343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Егорлыкский район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20,8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19,9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19,4</w:t>
            </w:r>
          </w:p>
        </w:tc>
      </w:tr>
      <w:tr w:rsidR="002D2C5B">
        <w:trPr>
          <w:trHeight w:val="320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Заветинский район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54,4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53,1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58,6</w:t>
            </w:r>
          </w:p>
        </w:tc>
      </w:tr>
      <w:tr w:rsidR="002D2C5B">
        <w:trPr>
          <w:trHeight w:val="313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Зерноградский район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14,4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13,7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13,5</w:t>
            </w:r>
          </w:p>
        </w:tc>
      </w:tr>
      <w:tr w:rsidR="002D2C5B">
        <w:trPr>
          <w:trHeight w:val="321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Зимовниковский район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26,4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25,3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24,6</w:t>
            </w:r>
          </w:p>
        </w:tc>
      </w:tr>
      <w:tr w:rsidR="002D2C5B">
        <w:trPr>
          <w:trHeight w:val="314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Кагальницкий район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15,8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16,5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18,0</w:t>
            </w:r>
          </w:p>
        </w:tc>
      </w:tr>
      <w:tr w:rsidR="002D2C5B">
        <w:trPr>
          <w:trHeight w:val="307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Каменский район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19,4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18,9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18,4</w:t>
            </w:r>
          </w:p>
        </w:tc>
      </w:tr>
      <w:tr w:rsidR="002D2C5B">
        <w:trPr>
          <w:trHeight w:val="315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Кашарский район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28,8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27,6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26,8</w:t>
            </w:r>
          </w:p>
        </w:tc>
      </w:tr>
      <w:tr w:rsidR="002D2C5B">
        <w:trPr>
          <w:trHeight w:val="308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Константиновский район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27,3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26,1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25,5</w:t>
            </w:r>
          </w:p>
        </w:tc>
      </w:tr>
      <w:tr w:rsidR="002D2C5B">
        <w:trPr>
          <w:trHeight w:val="316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Красносулинский район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9,9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9,5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9,2</w:t>
            </w:r>
          </w:p>
        </w:tc>
      </w:tr>
      <w:tr w:rsidR="002D2C5B">
        <w:trPr>
          <w:trHeight w:val="294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Куйбышевский район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43,7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41,8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40,7</w:t>
            </w:r>
          </w:p>
        </w:tc>
      </w:tr>
      <w:tr w:rsidR="002D2C5B">
        <w:trPr>
          <w:trHeight w:val="332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Мартыновский район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43,4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47,7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53,1</w:t>
            </w:r>
          </w:p>
        </w:tc>
      </w:tr>
      <w:tr w:rsidR="002D2C5B">
        <w:trPr>
          <w:trHeight w:val="325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Матвеево-Курганский район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22,8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26,2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28,7</w:t>
            </w:r>
          </w:p>
        </w:tc>
      </w:tr>
      <w:tr w:rsidR="002D2C5B">
        <w:trPr>
          <w:trHeight w:val="333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Миллеровский район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10,5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10,0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9,8</w:t>
            </w:r>
          </w:p>
        </w:tc>
      </w:tr>
      <w:tr w:rsidR="002D2C5B">
        <w:trPr>
          <w:trHeight w:val="326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Милютинский район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33,3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31,9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31,1</w:t>
            </w:r>
          </w:p>
        </w:tc>
      </w:tr>
      <w:tr w:rsidR="002D2C5B">
        <w:trPr>
          <w:trHeight w:val="337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Морозовский район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9,4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10,8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11,7</w:t>
            </w:r>
          </w:p>
        </w:tc>
      </w:tr>
      <w:tr w:rsidR="002D2C5B">
        <w:trPr>
          <w:trHeight w:val="345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Мясниковский район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9,0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8,5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8,4</w:t>
            </w:r>
          </w:p>
        </w:tc>
      </w:tr>
      <w:tr w:rsidR="002D2C5B">
        <w:trPr>
          <w:trHeight w:val="338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Неклиновский район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20,4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19,5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19,0</w:t>
            </w:r>
          </w:p>
        </w:tc>
      </w:tr>
      <w:tr w:rsidR="002D2C5B">
        <w:trPr>
          <w:trHeight w:val="315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Обливский район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33,7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32,3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31,5</w:t>
            </w:r>
          </w:p>
        </w:tc>
      </w:tr>
      <w:tr w:rsidR="002D2C5B">
        <w:trPr>
          <w:trHeight w:val="324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Октябрьский район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6,4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6,2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6,0</w:t>
            </w:r>
          </w:p>
        </w:tc>
      </w:tr>
      <w:tr w:rsidR="002D2C5B">
        <w:trPr>
          <w:trHeight w:val="330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Орловский район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19,4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18,6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19,9</w:t>
            </w:r>
          </w:p>
        </w:tc>
      </w:tr>
      <w:tr w:rsidR="002D2C5B">
        <w:trPr>
          <w:trHeight w:val="330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Песчанокопский район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17,1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16,4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15,9</w:t>
            </w:r>
          </w:p>
        </w:tc>
      </w:tr>
      <w:tr w:rsidR="002D2C5B">
        <w:trPr>
          <w:trHeight w:val="306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Пролетарский район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21,9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21,0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20,4</w:t>
            </w:r>
          </w:p>
        </w:tc>
      </w:tr>
      <w:tr w:rsidR="002D2C5B">
        <w:trPr>
          <w:trHeight w:val="328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Ремонтненский район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40,1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38,4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37,4</w:t>
            </w:r>
          </w:p>
        </w:tc>
      </w:tr>
      <w:tr w:rsidR="002D2C5B">
        <w:trPr>
          <w:trHeight w:val="331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Родионово-Несветайский район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27,8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26,6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25,9</w:t>
            </w:r>
          </w:p>
        </w:tc>
      </w:tr>
      <w:tr w:rsidR="002D2C5B">
        <w:trPr>
          <w:trHeight w:val="315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Сальский район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14,5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13,9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14,3</w:t>
            </w:r>
          </w:p>
        </w:tc>
      </w:tr>
      <w:tr w:rsidR="002D2C5B">
        <w:trPr>
          <w:trHeight w:val="323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Семикаракорский район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25,4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24,3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23,7</w:t>
            </w:r>
          </w:p>
        </w:tc>
      </w:tr>
      <w:tr w:rsidR="002D2C5B">
        <w:trPr>
          <w:trHeight w:val="330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Советский район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62,2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59,2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58,0</w:t>
            </w:r>
          </w:p>
        </w:tc>
      </w:tr>
      <w:tr w:rsidR="002D2C5B">
        <w:trPr>
          <w:trHeight w:val="315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Тарасовский район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32,4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31,0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30,2</w:t>
            </w:r>
          </w:p>
        </w:tc>
      </w:tr>
      <w:tr w:rsidR="002D2C5B">
        <w:trPr>
          <w:trHeight w:val="323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Тацинский район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26,8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27,3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30,0</w:t>
            </w:r>
          </w:p>
        </w:tc>
      </w:tr>
      <w:tr w:rsidR="002D2C5B">
        <w:trPr>
          <w:trHeight w:val="315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Усть-Донецкий район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31,4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30,1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29,3</w:t>
            </w:r>
          </w:p>
        </w:tc>
      </w:tr>
      <w:tr w:rsidR="002D2C5B">
        <w:trPr>
          <w:trHeight w:val="338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Целинский район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10,5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11,3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11,0</w:t>
            </w:r>
          </w:p>
        </w:tc>
      </w:tr>
      <w:tr w:rsidR="002D2C5B">
        <w:trPr>
          <w:trHeight w:val="360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Цимлянский район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16,7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18,7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20,5</w:t>
            </w:r>
          </w:p>
        </w:tc>
      </w:tr>
      <w:tr w:rsidR="002D2C5B">
        <w:trPr>
          <w:trHeight w:val="345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Чертковский район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23,1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26,1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28,9</w:t>
            </w:r>
          </w:p>
        </w:tc>
      </w:tr>
      <w:tr w:rsidR="002D2C5B">
        <w:trPr>
          <w:trHeight w:val="330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Шолоховский район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30,7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29,4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28,6</w:t>
            </w:r>
          </w:p>
        </w:tc>
      </w:tr>
      <w:tr w:rsidR="002D2C5B">
        <w:trPr>
          <w:trHeight w:val="315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г.Азов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</w:tr>
      <w:tr w:rsidR="002D2C5B">
        <w:trPr>
          <w:trHeight w:val="338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г.Батайск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1,1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1,2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</w:pPr>
            <w:r>
              <w:rPr>
                <w:b/>
                <w:sz w:val="28"/>
              </w:rPr>
              <w:t>-</w:t>
            </w:r>
          </w:p>
        </w:tc>
      </w:tr>
      <w:tr w:rsidR="002D2C5B">
        <w:trPr>
          <w:trHeight w:val="315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г.Волгодонск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</w:tr>
      <w:tr w:rsidR="002D2C5B">
        <w:trPr>
          <w:trHeight w:val="338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г.Гуково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25,9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24,8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24,1</w:t>
            </w:r>
          </w:p>
        </w:tc>
      </w:tr>
      <w:tr w:rsidR="002D2C5B">
        <w:trPr>
          <w:trHeight w:val="330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г.Донецк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26,5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25,4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24,7</w:t>
            </w:r>
          </w:p>
        </w:tc>
      </w:tr>
      <w:tr w:rsidR="002D2C5B">
        <w:trPr>
          <w:trHeight w:val="315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г.Зверево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7,9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7,9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7,6</w:t>
            </w:r>
          </w:p>
        </w:tc>
      </w:tr>
      <w:tr w:rsidR="002D2C5B">
        <w:trPr>
          <w:trHeight w:val="323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г.Каменск-Шахтинский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0,9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0,9</w:t>
            </w:r>
          </w:p>
        </w:tc>
      </w:tr>
      <w:tr w:rsidR="002D2C5B">
        <w:trPr>
          <w:trHeight w:val="300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г.Новочеркасск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</w:tr>
      <w:tr w:rsidR="002D2C5B">
        <w:trPr>
          <w:trHeight w:val="308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г.Новошахтинск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25,3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24,2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23,5</w:t>
            </w:r>
          </w:p>
        </w:tc>
      </w:tr>
      <w:tr w:rsidR="002D2C5B">
        <w:trPr>
          <w:trHeight w:val="316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г.Ростов-на-Дону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</w:tr>
      <w:tr w:rsidR="002D2C5B">
        <w:trPr>
          <w:trHeight w:val="324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г.Таганрог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</w:tr>
      <w:tr w:rsidR="002D2C5B">
        <w:trPr>
          <w:trHeight w:val="300"/>
        </w:trPr>
        <w:tc>
          <w:tcPr>
            <w:tcW w:w="4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2C5B" w:rsidRDefault="006065ED">
            <w:pPr>
              <w:rPr>
                <w:sz w:val="28"/>
              </w:rPr>
            </w:pPr>
            <w:r>
              <w:rPr>
                <w:sz w:val="28"/>
              </w:rPr>
              <w:t>г.Шахты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5,6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6,0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C5B" w:rsidRDefault="006065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6,4</w:t>
            </w:r>
          </w:p>
        </w:tc>
      </w:tr>
    </w:tbl>
    <w:p w:rsidR="002D2C5B" w:rsidRDefault="002D2C5B">
      <w:pPr>
        <w:rPr>
          <w:sz w:val="28"/>
        </w:rPr>
      </w:pPr>
    </w:p>
    <w:p w:rsidR="002D2C5B" w:rsidRDefault="002D2C5B">
      <w:pPr>
        <w:rPr>
          <w:sz w:val="28"/>
        </w:rPr>
      </w:pPr>
    </w:p>
    <w:p w:rsidR="002D2C5B" w:rsidRDefault="002D2C5B">
      <w:pPr>
        <w:rPr>
          <w:sz w:val="28"/>
        </w:rPr>
      </w:pPr>
    </w:p>
    <w:tbl>
      <w:tblPr>
        <w:tblW w:w="10348" w:type="dxa"/>
        <w:tblInd w:w="108" w:type="dxa"/>
        <w:tblLayout w:type="fixed"/>
        <w:tblLook w:val="04A0"/>
      </w:tblPr>
      <w:tblGrid>
        <w:gridCol w:w="3686"/>
        <w:gridCol w:w="6662"/>
      </w:tblGrid>
      <w:tr w:rsidR="002D2C5B" w:rsidTr="006065ED">
        <w:trPr>
          <w:trHeight w:val="284"/>
        </w:trPr>
        <w:tc>
          <w:tcPr>
            <w:tcW w:w="3686" w:type="dxa"/>
            <w:vAlign w:val="bottom"/>
          </w:tcPr>
          <w:p w:rsidR="002D2C5B" w:rsidRDefault="006065ED">
            <w:pPr>
              <w:ind w:left="-42"/>
              <w:jc w:val="center"/>
              <w:rPr>
                <w:sz w:val="28"/>
              </w:rPr>
            </w:pPr>
            <w:r>
              <w:rPr>
                <w:sz w:val="28"/>
              </w:rPr>
              <w:t>Заместитель Губернатора</w:t>
            </w:r>
          </w:p>
          <w:p w:rsidR="002D2C5B" w:rsidRDefault="006065ED">
            <w:pPr>
              <w:ind w:left="-42"/>
              <w:jc w:val="center"/>
              <w:rPr>
                <w:sz w:val="28"/>
              </w:rPr>
            </w:pPr>
            <w:r>
              <w:rPr>
                <w:sz w:val="28"/>
              </w:rPr>
              <w:t>Ростовской области –</w:t>
            </w:r>
          </w:p>
          <w:p w:rsidR="002D2C5B" w:rsidRDefault="006065ED">
            <w:pPr>
              <w:ind w:left="-42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министр </w:t>
            </w:r>
            <w:r>
              <w:rPr>
                <w:sz w:val="28"/>
              </w:rPr>
              <w:t>финансов</w:t>
            </w:r>
          </w:p>
        </w:tc>
        <w:tc>
          <w:tcPr>
            <w:tcW w:w="6662" w:type="dxa"/>
            <w:vAlign w:val="bottom"/>
          </w:tcPr>
          <w:p w:rsidR="002D2C5B" w:rsidRDefault="006065ED">
            <w:pPr>
              <w:jc w:val="right"/>
              <w:rPr>
                <w:sz w:val="28"/>
              </w:rPr>
            </w:pPr>
            <w:r>
              <w:rPr>
                <w:sz w:val="28"/>
              </w:rPr>
              <w:t>Л.В. Федотова</w:t>
            </w:r>
          </w:p>
        </w:tc>
      </w:tr>
    </w:tbl>
    <w:p w:rsidR="002D2C5B" w:rsidRDefault="002D2C5B"/>
    <w:p w:rsidR="002D2C5B" w:rsidRDefault="002D2C5B">
      <w:pPr>
        <w:spacing w:line="228" w:lineRule="auto"/>
        <w:ind w:right="-30" w:firstLine="708"/>
        <w:jc w:val="both"/>
      </w:pPr>
    </w:p>
    <w:p w:rsidR="002D2C5B" w:rsidRDefault="002D2C5B"/>
    <w:sectPr w:rsidR="002D2C5B" w:rsidSect="002D2C5B">
      <w:footerReference w:type="default" r:id="rId6"/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C5B" w:rsidRDefault="002D2C5B" w:rsidP="002D2C5B">
      <w:r>
        <w:separator/>
      </w:r>
    </w:p>
  </w:endnote>
  <w:endnote w:type="continuationSeparator" w:id="0">
    <w:p w:rsidR="002D2C5B" w:rsidRDefault="002D2C5B" w:rsidP="002D2C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C5B" w:rsidRDefault="002D2C5B">
    <w:pPr>
      <w:framePr w:wrap="around" w:vAnchor="text" w:hAnchor="margin" w:xAlign="right" w:y="1"/>
    </w:pPr>
    <w:r>
      <w:rPr>
        <w:rStyle w:val="a5"/>
      </w:rPr>
      <w:fldChar w:fldCharType="begin"/>
    </w:r>
    <w:r w:rsidR="006065ED">
      <w:rPr>
        <w:rStyle w:val="a5"/>
      </w:rPr>
      <w:instrText xml:space="preserve">PAGE </w:instrText>
    </w:r>
    <w:r w:rsidR="006065ED">
      <w:rPr>
        <w:rStyle w:val="a5"/>
      </w:rPr>
      <w:fldChar w:fldCharType="separate"/>
    </w:r>
    <w:r w:rsidR="006065ED">
      <w:rPr>
        <w:rStyle w:val="a5"/>
        <w:noProof/>
      </w:rPr>
      <w:t>1</w:t>
    </w:r>
    <w:r>
      <w:rPr>
        <w:rStyle w:val="a5"/>
      </w:rPr>
      <w:fldChar w:fldCharType="end"/>
    </w:r>
  </w:p>
  <w:p w:rsidR="002D2C5B" w:rsidRDefault="002D2C5B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C5B" w:rsidRDefault="002D2C5B" w:rsidP="002D2C5B">
      <w:r>
        <w:separator/>
      </w:r>
    </w:p>
  </w:footnote>
  <w:footnote w:type="continuationSeparator" w:id="0">
    <w:p w:rsidR="002D2C5B" w:rsidRDefault="002D2C5B" w:rsidP="002D2C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2C5B"/>
    <w:rsid w:val="002D2C5B"/>
    <w:rsid w:val="00606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2D2C5B"/>
    <w:rPr>
      <w:sz w:val="24"/>
    </w:rPr>
  </w:style>
  <w:style w:type="paragraph" w:styleId="10">
    <w:name w:val="heading 1"/>
    <w:basedOn w:val="a"/>
    <w:next w:val="a"/>
    <w:link w:val="11"/>
    <w:uiPriority w:val="9"/>
    <w:qFormat/>
    <w:rsid w:val="002D2C5B"/>
    <w:pPr>
      <w:keepNext/>
      <w:outlineLvl w:val="0"/>
    </w:pPr>
    <w:rPr>
      <w:b/>
    </w:rPr>
  </w:style>
  <w:style w:type="paragraph" w:styleId="2">
    <w:name w:val="heading 2"/>
    <w:next w:val="a"/>
    <w:link w:val="20"/>
    <w:uiPriority w:val="9"/>
    <w:qFormat/>
    <w:rsid w:val="002D2C5B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2D2C5B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2D2C5B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2D2C5B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2D2C5B"/>
    <w:rPr>
      <w:sz w:val="24"/>
    </w:rPr>
  </w:style>
  <w:style w:type="paragraph" w:styleId="21">
    <w:name w:val="toc 2"/>
    <w:next w:val="a"/>
    <w:link w:val="22"/>
    <w:uiPriority w:val="39"/>
    <w:rsid w:val="002D2C5B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2D2C5B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2D2C5B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2D2C5B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2D2C5B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2D2C5B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2D2C5B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2D2C5B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2D2C5B"/>
    <w:rPr>
      <w:rFonts w:ascii="XO Thames" w:hAnsi="XO Thames"/>
      <w:b/>
      <w:sz w:val="26"/>
    </w:rPr>
  </w:style>
  <w:style w:type="paragraph" w:styleId="a3">
    <w:name w:val="footer"/>
    <w:basedOn w:val="a"/>
    <w:link w:val="a4"/>
    <w:rsid w:val="002D2C5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sid w:val="002D2C5B"/>
  </w:style>
  <w:style w:type="paragraph" w:customStyle="1" w:styleId="12">
    <w:name w:val="Номер страницы1"/>
    <w:basedOn w:val="13"/>
    <w:link w:val="a5"/>
    <w:rsid w:val="002D2C5B"/>
  </w:style>
  <w:style w:type="character" w:styleId="a5">
    <w:name w:val="page number"/>
    <w:basedOn w:val="a0"/>
    <w:link w:val="12"/>
    <w:rsid w:val="002D2C5B"/>
  </w:style>
  <w:style w:type="paragraph" w:styleId="31">
    <w:name w:val="toc 3"/>
    <w:next w:val="a"/>
    <w:link w:val="32"/>
    <w:uiPriority w:val="39"/>
    <w:rsid w:val="002D2C5B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2D2C5B"/>
    <w:rPr>
      <w:rFonts w:ascii="XO Thames" w:hAnsi="XO Thames"/>
      <w:sz w:val="28"/>
    </w:rPr>
  </w:style>
  <w:style w:type="paragraph" w:customStyle="1" w:styleId="13">
    <w:name w:val="Основной шрифт абзаца1"/>
    <w:link w:val="5"/>
    <w:rsid w:val="002D2C5B"/>
  </w:style>
  <w:style w:type="character" w:customStyle="1" w:styleId="50">
    <w:name w:val="Заголовок 5 Знак"/>
    <w:link w:val="5"/>
    <w:rsid w:val="002D2C5B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sid w:val="002D2C5B"/>
    <w:rPr>
      <w:b/>
    </w:rPr>
  </w:style>
  <w:style w:type="paragraph" w:styleId="a6">
    <w:name w:val="header"/>
    <w:basedOn w:val="a"/>
    <w:link w:val="a7"/>
    <w:rsid w:val="002D2C5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1"/>
    <w:link w:val="a6"/>
    <w:rsid w:val="002D2C5B"/>
  </w:style>
  <w:style w:type="paragraph" w:customStyle="1" w:styleId="14">
    <w:name w:val="Гиперссылка1"/>
    <w:link w:val="a8"/>
    <w:rsid w:val="002D2C5B"/>
    <w:rPr>
      <w:color w:val="0000FF"/>
      <w:u w:val="single"/>
    </w:rPr>
  </w:style>
  <w:style w:type="character" w:styleId="a8">
    <w:name w:val="Hyperlink"/>
    <w:link w:val="14"/>
    <w:rsid w:val="002D2C5B"/>
    <w:rPr>
      <w:color w:val="0000FF"/>
      <w:u w:val="single"/>
    </w:rPr>
  </w:style>
  <w:style w:type="paragraph" w:customStyle="1" w:styleId="Footnote">
    <w:name w:val="Footnote"/>
    <w:link w:val="Footnote0"/>
    <w:rsid w:val="002D2C5B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2D2C5B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sid w:val="002D2C5B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sid w:val="002D2C5B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2D2C5B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2D2C5B"/>
    <w:rPr>
      <w:rFonts w:ascii="XO Thames" w:hAnsi="XO Thames"/>
      <w:sz w:val="20"/>
    </w:rPr>
  </w:style>
  <w:style w:type="paragraph" w:customStyle="1" w:styleId="ConsPlusTitle">
    <w:name w:val="ConsPlusTitle"/>
    <w:link w:val="ConsPlusTitle0"/>
    <w:rsid w:val="002D2C5B"/>
    <w:pPr>
      <w:widowControl w:val="0"/>
    </w:pPr>
    <w:rPr>
      <w:b/>
      <w:sz w:val="24"/>
    </w:rPr>
  </w:style>
  <w:style w:type="character" w:customStyle="1" w:styleId="ConsPlusTitle0">
    <w:name w:val="ConsPlusTitle"/>
    <w:link w:val="ConsPlusTitle"/>
    <w:rsid w:val="002D2C5B"/>
    <w:rPr>
      <w:b/>
      <w:sz w:val="24"/>
    </w:rPr>
  </w:style>
  <w:style w:type="paragraph" w:styleId="9">
    <w:name w:val="toc 9"/>
    <w:next w:val="a"/>
    <w:link w:val="90"/>
    <w:uiPriority w:val="39"/>
    <w:rsid w:val="002D2C5B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2D2C5B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2D2C5B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2D2C5B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2D2C5B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2D2C5B"/>
    <w:rPr>
      <w:rFonts w:ascii="XO Thames" w:hAnsi="XO Thames"/>
      <w:sz w:val="28"/>
    </w:rPr>
  </w:style>
  <w:style w:type="paragraph" w:styleId="a9">
    <w:name w:val="Subtitle"/>
    <w:next w:val="a"/>
    <w:link w:val="aa"/>
    <w:uiPriority w:val="11"/>
    <w:qFormat/>
    <w:rsid w:val="002D2C5B"/>
    <w:pPr>
      <w:jc w:val="both"/>
    </w:pPr>
    <w:rPr>
      <w:rFonts w:ascii="XO Thames" w:hAnsi="XO Thames"/>
      <w:i/>
      <w:sz w:val="24"/>
    </w:rPr>
  </w:style>
  <w:style w:type="character" w:customStyle="1" w:styleId="aa">
    <w:name w:val="Подзаголовок Знак"/>
    <w:link w:val="a9"/>
    <w:rsid w:val="002D2C5B"/>
    <w:rPr>
      <w:rFonts w:ascii="XO Thames" w:hAnsi="XO Thames"/>
      <w:i/>
      <w:sz w:val="24"/>
    </w:rPr>
  </w:style>
  <w:style w:type="paragraph" w:styleId="ab">
    <w:name w:val="Title"/>
    <w:next w:val="a"/>
    <w:link w:val="ac"/>
    <w:uiPriority w:val="10"/>
    <w:qFormat/>
    <w:rsid w:val="002D2C5B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c">
    <w:name w:val="Название Знак"/>
    <w:link w:val="ab"/>
    <w:rsid w:val="002D2C5B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2D2C5B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2D2C5B"/>
    <w:rPr>
      <w:rFonts w:ascii="XO Thames" w:hAnsi="XO Thames"/>
      <w:b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2188</Characters>
  <Application>Microsoft Office Word</Application>
  <DocSecurity>0</DocSecurity>
  <Lines>18</Lines>
  <Paragraphs>5</Paragraphs>
  <ScaleCrop>false</ScaleCrop>
  <Company/>
  <LinksUpToDate>false</LinksUpToDate>
  <CharactersWithSpaces>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Dubovaya</cp:lastModifiedBy>
  <cp:revision>2</cp:revision>
  <dcterms:created xsi:type="dcterms:W3CDTF">2024-10-02T06:50:00Z</dcterms:created>
  <dcterms:modified xsi:type="dcterms:W3CDTF">2024-10-02T06:50:00Z</dcterms:modified>
</cp:coreProperties>
</file>